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2018年度市级知识产权优势企业名单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漯河市</w:t>
      </w:r>
      <w:bookmarkStart w:id="0" w:name="_GoBack"/>
      <w:bookmarkEnd w:id="0"/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罗弗文具制造有限公司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河南颍川新材料股份有限公司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漯河市天龙化工有限公司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漯河市邦威橡胶有限公司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0" w:lineRule="atLeast"/>
        <w:ind w:left="0" w:right="0"/>
        <w:jc w:val="center"/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/>
          <w:b w:val="0"/>
          <w:color w:val="000000"/>
          <w:sz w:val="36"/>
          <w:szCs w:val="36"/>
          <w:shd w:val="clear" w:color="auto" w:fill="FFFFFF"/>
          <w:lang w:eastAsia="zh-CN"/>
        </w:rPr>
        <w:t>河南合瑞电气有限公司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5650D"/>
    <w:rsid w:val="04456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2019-01-17T02:52:00Z</dcterms:created>
  <dc:creator>Administrator</dc:creator>
  <cp:lastModifiedBy>Administrator</cp:lastModifiedBy>
  <dcterms:modified xsi:type="dcterms:W3CDTF">2019-01-17T02:52:24Z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