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/>
        <w:jc w:val="center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/>
        <w:jc w:val="center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河南省科学技术厅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河南省科学技术协会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关于举办2024年河南省科学实验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展演汇演活动的通知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各省辖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市、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济源示范区、航空港区科技主管部门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科协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，省直有关部门，各有关单位：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为贯彻落实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习近平总书记关于科学普及与科技创新同等重要的指示精神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，普及科学知识、倡导科学方法、传播科学思想、弘扬科学精神，大力培育创新文化，营造创新氛围，激发全社会创新创业活力，省科技厅、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省科协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决定举办2024年河南省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科学实验展演汇演活动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。现将有关事项通知如下。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一、</w:t>
      </w: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活动</w:t>
      </w: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主题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弘扬科学家精神 激发全社会创新活力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二、活动组织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2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主办单位：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河南省科学技术厅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河南省科学技术协会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2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承办单位：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河南省科技创新促进中心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2024年河南省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科学实验展演汇演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主办单位、承办单位共同组成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科学实验展演汇演活动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组委会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办公室设在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河南省科技创新促进中心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，负责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各项工作的具体执行。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三、大赛安排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分预赛和决赛两个阶段进行，具体实施方案见附件1。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四、奖项设置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设置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eastAsia="zh-CN" w:bidi="ar-SA"/>
        </w:rPr>
        <w:t>一、二、三等奖和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专项奖、最具人气奖、优秀奖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eastAsia="zh-CN" w:bidi="ar-SA"/>
        </w:rPr>
        <w:t>若干。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一等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eastAsia="zh-CN" w:bidi="ar-SA"/>
        </w:rPr>
        <w:t>奖的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代表队将代表河南省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参加第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届全国科学实验展演汇演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Style w:val="12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五、报名</w:t>
      </w:r>
      <w:r>
        <w:rPr>
          <w:rStyle w:val="12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要求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4" w:lineRule="exact"/>
        <w:ind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sz w:val="32"/>
          <w:szCs w:val="32"/>
        </w:rPr>
        <w:t>（一）人数要求。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每个队伍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参赛选手限定在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人以内（含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人），安排其中1名为队长。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4" w:lineRule="exact"/>
        <w:ind w:leftChars="0" w:firstLine="642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（二）报名条件。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参赛代表队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选手为科普工作者、专职及兼职科普讲解人员、科学传播爱好者（职业不限）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eastAsia="zh-CN" w:bidi="ar-SA"/>
        </w:rPr>
        <w:t>学生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年龄18周岁以上，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鼓励广大科技人员参赛。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禁止多推荐渠道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六、</w:t>
      </w: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推荐要求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（一）本次大赛采取选手自愿报名、主管部门推荐的方式，不限推荐名额。各地各部门自行组织评选，推荐代表队参加省科学实验展演汇演活动。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（二）各省辖市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济源示范区、航空港区管委会科技主管部门、科协负责本区域内参赛代表队的审核推荐工作；省直部门负责本系统代表队的审核推荐工作。一个展演汇演项目只能通过一个单位推荐，不得重复推荐。未经推荐的代表队或选手报名无效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（三）请各推荐单位组织专家对代表队选手及实验展演内容进行审查，确保选手无科研诚信问题，实验展演内容无导向性和科学性错误，且无知识产权纠纷，并提交《审查说明》盖章件，参考模版见附件2。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七、报名方式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推荐单位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请于2024年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以下资料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发送至指定邮箱（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hnkpgz@163.com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）：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1.审查说明（附件2）；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.代表队信息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汇总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表（附件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.参赛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名表（附件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参赛选手（队伍）自我介绍视频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时长20秒以内，统一用MP4等通用编码格式，画面比例16:9，全高清1920*1080，文件不大于100M。视频内容依次为选手（队伍）情况介绍、单位介绍（学校介绍）、自选实验介绍，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最后以“弘扬科学家精神 激发全社会创新活力”结尾。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提交报名资料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经由大赛组委会审核通过即为完成报名，逾期未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报送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、资料不全或不符合要求视为自动放弃参赛。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Style w:val="12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八、联系方式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省科技厅：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孟晓乾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0371-86561625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河南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省科技创新促进中心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（报名联系人）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0371-67579126，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17638103410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地 址：郑州市金水区花园路27号科技信息大厦2411室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邮 编：450003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74" w:right="1474" w:bottom="1531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2024年8月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2024年河南省科学实验展演汇演活动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 xml:space="preserve">展演内容、规则及评分标准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（一）预赛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选手（队伍）佩戴号码牌上场，依次进行自主实验。决出20个代表队参加决赛。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1.自选实验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自选实验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由选手自行确定并在规定时间内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进行实验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演示，自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选实验限定在物理、化学、生物等学科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相关的实验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，时间限定6分钟，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实验表演可以是独自一人或多人演示，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表演人员须佩戴耳麦，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实验表演具体形式不限，但内容核心要传播科学思想、科学知识或传授科学方法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实验现象明显，兼具创新性、趣味性与安全性。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自选实验所需器材、材料由选手自行准备（特殊材料如氯气、氮气等交通运输部门严禁的化学用品除外）。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2.评分标准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预赛总分100分，评分保留到小数点后两位，超时由记分员进行扣分记录。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评委分别从实验内容、演示效果、整体形象三方面进行评分，实验演示限时6分钟。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①实验内容 （40分）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科学准确，重点突出；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通俗易懂，深入浅出。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= 2 \* GB3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演示效果（40分）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动作标准，快速准确；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简单易学，互动性强。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= 3 \* GB3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整体形象（20分）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衣着整齐，精神饱满；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举止大方，自然得体。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.扣分规则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自选实验限时6分钟，超时10秒以内扣0.5分，超时15秒后实验中止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扣1分。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预赛采取分组分时段比赛制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。出场时，播放 20 秒介绍视频，该环节不作评分，视频由选手准备。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注：展演时，20 秒介绍视频由组委会工作人员播放，视频由选手准备。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（二）决赛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选手（队伍）佩戴号码牌上场，依次进行自主实验和评委问答。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1.自选实验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自选实验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由选手自行确定并在规定时间内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进行实验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演示，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自选实验限定在物理、化学、生物等学科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相关的实验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，时间限定6分钟，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实验表演可以是独自一人或多人演示，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表演人员须佩戴耳麦，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实验表演具体形式不限，但内容核心要传播科学思想、科学知识或传授科学方法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实验现象明显，兼具创新性、趣味性与安全性。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自选实验所需器材、材料由选手自行准备（特殊材料如氯气、氮气等交通运输部门严禁的化学用品除外）。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2.评委问答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评委问答限时2分钟，就选手展示的科学实验进行提问，问题由评委随机提出，该环节主要考核选手的科学素养和应变能力。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3.评分标准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评委分别从实验内容、演示效果、整体形象、评委问答四方面进行评分。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（1）实验内容（40 分）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科学准确，重点突出；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通俗易懂，深入浅出。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（2）演示效果（30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动作标准，快速准确；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简单易学，互动性强。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（3）整体形象（10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衣着整齐，精神饱满；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举止大方，自然得体。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（4）评委问答（20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评委就选手自选实验进行提问并打分，问题由评委随机提出，限时 2 分钟，超时 10 秒后终止。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4.扣分规则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自选实验限时6分钟，超时（6分钟）10秒以内扣0.5分（含 10秒），超时10秒以上到15秒扣 1 分（含15秒），超时15秒后实验中止，扣1分。评委问答环节限时2分钟，超时10秒后终止，不扣分。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5.其他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决赛阶段，选手抽签确定上场顺序。出场时，播放20秒介绍视频，该环节不作评分，视频由选手准备。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注：展演时，20 秒介绍视频由组委会工作人员播放，视频由选手准备。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（三）评分方式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由省科技厅从科普专家库中抽选不同行业、不同领域的7位专家评委组成评审组，对代表队自选实验和评委问答进行打分，并对代表队整体表现进行点评。代表队得分为现场评委评分的平均得分，评分保留到小数点后两位，超时由记分员进行扣分，扣分直接在计算得到的平均得分中扣除，并作为选手该阶段最终得分。若遇选手总分数相同则按评委的第一个最高分高低决定名次，若评委的第一个最高分相同则按第二个最高分高低决定名次，以此类推；若遇评委具体打分均相同，选手名次平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则在监督组的监督下抽签决定名次。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二、日程安排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（一）预赛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10月（具体时间以比赛通知为准）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地点：郑州市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预赛采取分组分时段比赛制，各代表队选手按照指定时间前往会场参加比赛。根据得分从高到低排序产生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优胜选手，晋级决赛。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（二）决赛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10月（具体时间以比赛通知为准）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地点：郑州市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决赛选手按抽签顺序进行比赛，根据得分从高到低排序确定选手排名及奖项。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 xml:space="preserve">三、奖项设定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1.一等奖。展演汇演评选出的前3名选手（队伍）将获得“2024年河南省科学实验展演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汇演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一等奖”，颁发获奖证书，并代表河南省参加第七届全国科学实验展演汇演。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2.二等奖。展演汇演评选出的第4—10名选手（队伍）共7名选手将获得“2024年河南省科学实验展演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汇演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二等奖”，颁发获奖证书。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3.三等奖。展演汇演评选出的第1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—20名选手（队伍）共10名选手将获得“2024年河南省科学实验展演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汇演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三等奖”，颁发获奖证书。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4.专项奖。进入决赛的选手（队伍）可参与最佳实验创意奖和最佳表演奖的评选，各1名，由现场观众及评委选出，票数最多者当选。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5.最具人气奖。所有选手（队伍）均可参与最具人气奖评选。选手（队伍）拍摄1分钟科普宣传视频，内容包含自我介绍和自选实验内容介绍，打开抖音app，点击中间“+”发布视频，带话题#2024年河南省科学实验展演汇演，同时将科普宣传视频及链接报送至组委会，即视为成功参与评选。组委会将根据抖音系统后台点赞数评出最具人气奖3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抖音点赞统计时间为：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10月（以比赛通知为准）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6.优秀奖。其他比赛中表现突出的选手（队伍）将获得“2024年河南省科学实验展演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汇演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优秀奖”，颁发获奖证书。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 xml:space="preserve">五、其他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（一）实验要求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要求佩戴耳麦，所需设备由组委会提供。实验所需的服装、道具、多媒体等由选手自备。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（二）参赛费用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参赛选手差旅、住宿费自理，不需交纳参赛报名费用。比赛活动涉及的场地租赁、设备配置、专家聘请、服务及人员保障等由承办单位承担。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（三）会务联系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为方便团队负责人、选手与大赛组委会沟通交流，工作人员将邀请团队负责人进入大赛会务微信群。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74" w:right="1474" w:bottom="1531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ind w:firstLine="0" w:firstLineChars="0"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2024年河南省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科学实验展演汇演内容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审查说明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模板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科学实验展演汇演活动组委会：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经审查，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选手无科研诚信问题，实验展演内容无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导向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性及科学性错误。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特此说明。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推荐单位：（盖章）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2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年   月 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2024年河南省科学实验展演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汇演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代表队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信息汇总表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地市/部门：（公章）</w:t>
      </w:r>
    </w:p>
    <w:tbl>
      <w:tblPr>
        <w:tblStyle w:val="10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961"/>
        <w:gridCol w:w="1737"/>
        <w:gridCol w:w="235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实 验 名 称</w:t>
            </w: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sectPr>
          <w:pgSz w:w="11906" w:h="16838"/>
          <w:pgMar w:top="1474" w:right="1474" w:bottom="1531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2024年河南省科学实验展演汇演活动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报 名 表</w:t>
      </w:r>
    </w:p>
    <w:tbl>
      <w:tblPr>
        <w:tblStyle w:val="9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94"/>
        <w:gridCol w:w="1191"/>
        <w:gridCol w:w="320"/>
        <w:gridCol w:w="448"/>
        <w:gridCol w:w="779"/>
        <w:gridCol w:w="284"/>
        <w:gridCol w:w="1173"/>
        <w:gridCol w:w="338"/>
        <w:gridCol w:w="962"/>
        <w:gridCol w:w="549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团队负责人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姓名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性别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民族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20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  <w:t>（照片）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  <w:lang w:val="en-US" w:eastAsia="zh-CN"/>
              </w:rPr>
              <w:t>2寸免冠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工作单位</w:t>
            </w:r>
          </w:p>
        </w:tc>
        <w:tc>
          <w:tcPr>
            <w:tcW w:w="549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20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职务职称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2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32"/>
              </w:rPr>
              <w:t>学历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20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20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0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名称</w:t>
            </w:r>
          </w:p>
        </w:tc>
        <w:tc>
          <w:tcPr>
            <w:tcW w:w="75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99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作品简介</w:t>
            </w:r>
          </w:p>
        </w:tc>
        <w:tc>
          <w:tcPr>
            <w:tcW w:w="75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团队成员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  <w:t>名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val="en-US" w:eastAsia="zh-CN"/>
              </w:rPr>
              <w:t>性 别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  <w:t>出生年月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  <w:t>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840" w:rightChars="40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840" w:rightChars="40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840" w:rightChars="40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840" w:rightChars="40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840" w:rightChars="40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840" w:rightChars="40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03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</w:rPr>
              <w:t>推荐意见</w:t>
            </w:r>
          </w:p>
        </w:tc>
        <w:tc>
          <w:tcPr>
            <w:tcW w:w="75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3080" w:firstLineChars="1100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3080" w:firstLineChars="1100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840" w:rightChars="400"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03" w:hRule="atLeast"/>
          <w:jc w:val="center"/>
        </w:trPr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  <w:t>主管单位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32"/>
                <w:lang w:eastAsia="zh-CN"/>
              </w:rPr>
              <w:t>推荐意见</w:t>
            </w:r>
          </w:p>
        </w:tc>
        <w:tc>
          <w:tcPr>
            <w:tcW w:w="755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840" w:rightChars="400" w:firstLine="0" w:firstLine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840" w:rightChars="400" w:firstLine="0" w:firstLine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840" w:rightChars="400" w:firstLine="0" w:firstLine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firstLine="3080" w:firstLineChars="1100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20" w:lineRule="exact"/>
              <w:ind w:right="840" w:rightChars="400" w:firstLine="0" w:firstLine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56" w:hRule="atLeast"/>
          <w:jc w:val="center"/>
        </w:trPr>
        <w:tc>
          <w:tcPr>
            <w:tcW w:w="9552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实验所需的服装、道具、多媒体等由选手自备。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上报此报名表，视为选手已阅读活动有关规则，承诺遵守有关规定，并且服从主办方的最终决定，个人资料填报真实、准确无误。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74" w:right="1474" w:bottom="153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ZDZhNGVhMWYzZWVkZjM5ODJhMTI0MDRhOWU4MzQifQ=="/>
  </w:docVars>
  <w:rsids>
    <w:rsidRoot w:val="71DE2546"/>
    <w:rsid w:val="01EB08CB"/>
    <w:rsid w:val="020A5FF2"/>
    <w:rsid w:val="07B74A39"/>
    <w:rsid w:val="0BFA5D95"/>
    <w:rsid w:val="0C070E07"/>
    <w:rsid w:val="14E2479B"/>
    <w:rsid w:val="19563FE9"/>
    <w:rsid w:val="1A7F7595"/>
    <w:rsid w:val="1E85149C"/>
    <w:rsid w:val="21AA19C9"/>
    <w:rsid w:val="225F5E68"/>
    <w:rsid w:val="26CBE76C"/>
    <w:rsid w:val="277F9E6C"/>
    <w:rsid w:val="28855A5F"/>
    <w:rsid w:val="2B791E82"/>
    <w:rsid w:val="2DBD541B"/>
    <w:rsid w:val="2F3DCB1D"/>
    <w:rsid w:val="32E97FAB"/>
    <w:rsid w:val="3BAF65F5"/>
    <w:rsid w:val="3BEF705C"/>
    <w:rsid w:val="3DB902F9"/>
    <w:rsid w:val="3EEF0E81"/>
    <w:rsid w:val="3FFF5044"/>
    <w:rsid w:val="41C63BAE"/>
    <w:rsid w:val="44B64896"/>
    <w:rsid w:val="4780683E"/>
    <w:rsid w:val="49D626EE"/>
    <w:rsid w:val="4AD504DB"/>
    <w:rsid w:val="4CEA3482"/>
    <w:rsid w:val="54FDBE3E"/>
    <w:rsid w:val="58224C35"/>
    <w:rsid w:val="5A0B2C4A"/>
    <w:rsid w:val="5A3C6FCA"/>
    <w:rsid w:val="5BF40ACA"/>
    <w:rsid w:val="5C9A70A3"/>
    <w:rsid w:val="60F01468"/>
    <w:rsid w:val="65DD7D1C"/>
    <w:rsid w:val="6A082FA0"/>
    <w:rsid w:val="6D651416"/>
    <w:rsid w:val="6EE313CD"/>
    <w:rsid w:val="71DE2546"/>
    <w:rsid w:val="7EF1FF61"/>
    <w:rsid w:val="7FA300EC"/>
    <w:rsid w:val="7FAF4141"/>
    <w:rsid w:val="7FEFE664"/>
    <w:rsid w:val="AEF4AAD5"/>
    <w:rsid w:val="B1765C35"/>
    <w:rsid w:val="B7F5A46F"/>
    <w:rsid w:val="CD753381"/>
    <w:rsid w:val="DB5F4B97"/>
    <w:rsid w:val="DF3E08B1"/>
    <w:rsid w:val="FEF54CD6"/>
    <w:rsid w:val="FEFF2FF8"/>
    <w:rsid w:val="FF7F3F3E"/>
    <w:rsid w:val="FFBEBA42"/>
    <w:rsid w:val="FFEFE42F"/>
    <w:rsid w:val="FF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21"/>
      <w:szCs w:val="21"/>
    </w:rPr>
  </w:style>
  <w:style w:type="paragraph" w:styleId="3">
    <w:name w:val="Body Text 2"/>
    <w:basedOn w:val="1"/>
    <w:next w:val="2"/>
    <w:unhideWhenUsed/>
    <w:qFormat/>
    <w:uiPriority w:val="99"/>
    <w:pPr>
      <w:spacing w:after="120" w:line="480" w:lineRule="auto"/>
    </w:p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index 8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3698</Words>
  <Characters>3874</Characters>
  <Lines>0</Lines>
  <Paragraphs>0</Paragraphs>
  <TotalTime>14</TotalTime>
  <ScaleCrop>false</ScaleCrop>
  <LinksUpToDate>false</LinksUpToDate>
  <CharactersWithSpaces>3987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2024-06-08T08:30:00Z</dcterms:created>
  <dc:creator>大大泡泡糖mili</dc:creator>
  <cp:lastModifiedBy> </cp:lastModifiedBy>
  <cp:lastPrinted>2024-08-15T10:24:00Z</cp:lastPrinted>
  <dcterms:modified xsi:type="dcterms:W3CDTF">2024-08-21T11:09:10Z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34E4C65F2A7947DB885B03F3D490222D_13</vt:lpwstr>
  </property>
</Properties>
</file>